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24" w:rsidRPr="00D30124" w:rsidRDefault="00D30124" w:rsidP="00D30124">
      <w:pPr>
        <w:spacing w:after="0" w:line="276" w:lineRule="atLeast"/>
        <w:textAlignment w:val="baseline"/>
        <w:outlineLvl w:val="2"/>
        <w:rPr>
          <w:rFonts w:ascii="Times" w:eastAsia="Times New Roman" w:hAnsi="Times" w:cs="Times New Roman"/>
          <w:b/>
          <w:bCs/>
          <w:color w:val="000000"/>
          <w:sz w:val="21"/>
          <w:szCs w:val="21"/>
          <w:lang w:eastAsia="hr-HR"/>
        </w:rPr>
      </w:pPr>
      <w:r w:rsidRPr="00D30124">
        <w:rPr>
          <w:rFonts w:ascii="Times" w:eastAsia="Times New Roman" w:hAnsi="Times" w:cs="Times New Roman"/>
          <w:b/>
          <w:bCs/>
          <w:color w:val="000000"/>
          <w:sz w:val="21"/>
          <w:szCs w:val="21"/>
          <w:lang w:eastAsia="hr-HR"/>
        </w:rPr>
        <w:t>NN 52/2019 (22.5.2019.), Zakon o članarinama u turističkim zajednicama</w:t>
      </w:r>
    </w:p>
    <w:p w:rsidR="00D30124" w:rsidRPr="00D30124" w:rsidRDefault="00D30124" w:rsidP="00D30124">
      <w:pPr>
        <w:spacing w:after="48" w:line="240" w:lineRule="auto"/>
        <w:jc w:val="center"/>
        <w:textAlignment w:val="baseline"/>
        <w:rPr>
          <w:rFonts w:ascii="Times New Roman" w:eastAsia="Times New Roman" w:hAnsi="Times New Roman" w:cs="Times New Roman"/>
          <w:b/>
          <w:bCs/>
          <w:caps/>
          <w:color w:val="231F20"/>
          <w:sz w:val="29"/>
          <w:szCs w:val="29"/>
          <w:lang w:eastAsia="hr-HR"/>
        </w:rPr>
      </w:pPr>
      <w:r w:rsidRPr="00D30124">
        <w:rPr>
          <w:rFonts w:ascii="Times New Roman" w:eastAsia="Times New Roman" w:hAnsi="Times New Roman" w:cs="Times New Roman"/>
          <w:b/>
          <w:bCs/>
          <w:caps/>
          <w:color w:val="231F20"/>
          <w:sz w:val="29"/>
          <w:szCs w:val="29"/>
          <w:lang w:eastAsia="hr-HR"/>
        </w:rPr>
        <w:t>HRVATSKI SABOR</w:t>
      </w:r>
    </w:p>
    <w:p w:rsidR="00D30124" w:rsidRPr="00D30124" w:rsidRDefault="00D30124" w:rsidP="00D30124">
      <w:pPr>
        <w:spacing w:after="48" w:line="240" w:lineRule="auto"/>
        <w:jc w:val="right"/>
        <w:textAlignment w:val="baseline"/>
        <w:rPr>
          <w:rFonts w:ascii="Times New Roman" w:eastAsia="Times New Roman" w:hAnsi="Times New Roman" w:cs="Times New Roman"/>
          <w:b/>
          <w:bCs/>
          <w:color w:val="231F20"/>
          <w:sz w:val="19"/>
          <w:szCs w:val="19"/>
          <w:lang w:eastAsia="hr-HR"/>
        </w:rPr>
      </w:pPr>
      <w:r w:rsidRPr="00D30124">
        <w:rPr>
          <w:rFonts w:ascii="Times New Roman" w:eastAsia="Times New Roman" w:hAnsi="Times New Roman" w:cs="Times New Roman"/>
          <w:b/>
          <w:bCs/>
          <w:color w:val="231F20"/>
          <w:sz w:val="19"/>
          <w:szCs w:val="19"/>
          <w:lang w:eastAsia="hr-HR"/>
        </w:rPr>
        <w:t>991</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Na temelju članka 89. Ustava Republike Hrvatske, donosim</w:t>
      </w:r>
    </w:p>
    <w:p w:rsidR="00D30124" w:rsidRPr="00D30124" w:rsidRDefault="00D30124" w:rsidP="00D30124">
      <w:pPr>
        <w:spacing w:before="153" w:after="0" w:line="240" w:lineRule="auto"/>
        <w:jc w:val="center"/>
        <w:textAlignment w:val="baseline"/>
        <w:rPr>
          <w:rFonts w:ascii="Times New Roman" w:eastAsia="Times New Roman" w:hAnsi="Times New Roman" w:cs="Times New Roman"/>
          <w:b/>
          <w:bCs/>
          <w:color w:val="231F20"/>
          <w:sz w:val="26"/>
          <w:szCs w:val="26"/>
          <w:lang w:eastAsia="hr-HR"/>
        </w:rPr>
      </w:pPr>
      <w:r w:rsidRPr="00D30124">
        <w:rPr>
          <w:rFonts w:ascii="Times New Roman" w:eastAsia="Times New Roman" w:hAnsi="Times New Roman" w:cs="Times New Roman"/>
          <w:b/>
          <w:bCs/>
          <w:color w:val="231F20"/>
          <w:sz w:val="26"/>
          <w:szCs w:val="26"/>
          <w:lang w:eastAsia="hr-HR"/>
        </w:rPr>
        <w:t>ODLUKU</w:t>
      </w:r>
    </w:p>
    <w:p w:rsidR="00D30124" w:rsidRPr="00D30124" w:rsidRDefault="00D30124" w:rsidP="00D30124">
      <w:pPr>
        <w:spacing w:before="68" w:after="72" w:line="240" w:lineRule="auto"/>
        <w:jc w:val="center"/>
        <w:textAlignment w:val="baseline"/>
        <w:rPr>
          <w:rFonts w:ascii="Times New Roman" w:eastAsia="Times New Roman" w:hAnsi="Times New Roman" w:cs="Times New Roman"/>
          <w:b/>
          <w:bCs/>
          <w:color w:val="231F20"/>
          <w:sz w:val="19"/>
          <w:szCs w:val="19"/>
          <w:lang w:eastAsia="hr-HR"/>
        </w:rPr>
      </w:pPr>
      <w:r w:rsidRPr="00D30124">
        <w:rPr>
          <w:rFonts w:ascii="Times New Roman" w:eastAsia="Times New Roman" w:hAnsi="Times New Roman" w:cs="Times New Roman"/>
          <w:b/>
          <w:bCs/>
          <w:color w:val="231F20"/>
          <w:sz w:val="19"/>
          <w:szCs w:val="19"/>
          <w:lang w:eastAsia="hr-HR"/>
        </w:rPr>
        <w:t>O PROGLAŠENJU ZAKONA O ČLANARINAMA U TURISTIČKIM ZAJEDNICAMA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Proglašavam Zakon o članarinama u turističkim zajednicama, koji je Hrvatski sabor donio na sjednici 9. svibnja 2019.</w:t>
      </w:r>
    </w:p>
    <w:p w:rsidR="00D30124" w:rsidRPr="00D30124" w:rsidRDefault="00D30124" w:rsidP="00D30124">
      <w:pPr>
        <w:spacing w:after="0" w:line="240" w:lineRule="auto"/>
        <w:ind w:left="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Klasa: 011-01/19-01/80</w:t>
      </w:r>
    </w:p>
    <w:p w:rsidR="00D30124" w:rsidRPr="00D30124" w:rsidRDefault="00D30124" w:rsidP="00D30124">
      <w:pPr>
        <w:spacing w:after="0" w:line="240" w:lineRule="auto"/>
        <w:ind w:left="408"/>
        <w:textAlignment w:val="baseline"/>
        <w:rPr>
          <w:rFonts w:ascii="Times New Roman" w:eastAsia="Times New Roman" w:hAnsi="Times New Roman" w:cs="Times New Roman"/>
          <w:color w:val="231F20"/>
          <w:sz w:val="16"/>
          <w:szCs w:val="16"/>
          <w:lang w:eastAsia="hr-HR"/>
        </w:rPr>
      </w:pPr>
      <w:proofErr w:type="spellStart"/>
      <w:r w:rsidRPr="00D30124">
        <w:rPr>
          <w:rFonts w:ascii="Times New Roman" w:eastAsia="Times New Roman" w:hAnsi="Times New Roman" w:cs="Times New Roman"/>
          <w:color w:val="231F20"/>
          <w:sz w:val="16"/>
          <w:szCs w:val="16"/>
          <w:lang w:eastAsia="hr-HR"/>
        </w:rPr>
        <w:t>Urbroj</w:t>
      </w:r>
      <w:proofErr w:type="spellEnd"/>
      <w:r w:rsidRPr="00D30124">
        <w:rPr>
          <w:rFonts w:ascii="Times New Roman" w:eastAsia="Times New Roman" w:hAnsi="Times New Roman" w:cs="Times New Roman"/>
          <w:color w:val="231F20"/>
          <w:sz w:val="16"/>
          <w:szCs w:val="16"/>
          <w:lang w:eastAsia="hr-HR"/>
        </w:rPr>
        <w:t>: 71-06-01/1-19-2</w:t>
      </w:r>
    </w:p>
    <w:p w:rsidR="00D30124" w:rsidRPr="00D30124" w:rsidRDefault="00D30124" w:rsidP="00D30124">
      <w:pPr>
        <w:spacing w:after="0" w:line="240" w:lineRule="auto"/>
        <w:ind w:left="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Zagreb, 10. svibnja 2019.</w:t>
      </w:r>
    </w:p>
    <w:p w:rsidR="00D30124" w:rsidRPr="00D30124" w:rsidRDefault="00D30124" w:rsidP="00D30124">
      <w:pPr>
        <w:spacing w:after="0" w:line="240" w:lineRule="auto"/>
        <w:ind w:left="2712"/>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Predsjednica</w:t>
      </w:r>
      <w:r w:rsidRPr="00D30124">
        <w:rPr>
          <w:rFonts w:ascii="Minion Pro" w:eastAsia="Times New Roman" w:hAnsi="Minion Pro" w:cs="Times New Roman"/>
          <w:color w:val="231F20"/>
          <w:sz w:val="16"/>
          <w:szCs w:val="16"/>
          <w:lang w:eastAsia="hr-HR"/>
        </w:rPr>
        <w:br/>
      </w:r>
      <w:r w:rsidRPr="00D30124">
        <w:rPr>
          <w:rFonts w:ascii="Times New Roman" w:eastAsia="Times New Roman" w:hAnsi="Times New Roman" w:cs="Times New Roman"/>
          <w:color w:val="231F20"/>
          <w:sz w:val="16"/>
          <w:szCs w:val="16"/>
          <w:lang w:eastAsia="hr-HR"/>
        </w:rPr>
        <w:t>Republike Hrvatske</w:t>
      </w:r>
      <w:r w:rsidRPr="00D30124">
        <w:rPr>
          <w:rFonts w:ascii="Minion Pro" w:eastAsia="Times New Roman" w:hAnsi="Minion Pro" w:cs="Times New Roman"/>
          <w:color w:val="231F20"/>
          <w:sz w:val="16"/>
          <w:szCs w:val="16"/>
          <w:lang w:eastAsia="hr-HR"/>
        </w:rPr>
        <w:br/>
      </w:r>
      <w:proofErr w:type="spellStart"/>
      <w:r w:rsidRPr="00D30124">
        <w:rPr>
          <w:rFonts w:ascii="Minion Pro" w:eastAsia="Times New Roman" w:hAnsi="Minion Pro" w:cs="Times New Roman"/>
          <w:b/>
          <w:bCs/>
          <w:color w:val="231F20"/>
          <w:sz w:val="18"/>
          <w:lang w:eastAsia="hr-HR"/>
        </w:rPr>
        <w:t>Kolinda</w:t>
      </w:r>
      <w:proofErr w:type="spellEnd"/>
      <w:r w:rsidRPr="00D30124">
        <w:rPr>
          <w:rFonts w:ascii="Minion Pro" w:eastAsia="Times New Roman" w:hAnsi="Minion Pro" w:cs="Times New Roman"/>
          <w:b/>
          <w:bCs/>
          <w:color w:val="231F20"/>
          <w:sz w:val="18"/>
          <w:lang w:eastAsia="hr-HR"/>
        </w:rPr>
        <w:t xml:space="preserve"> Grabar-Kitarović, </w:t>
      </w:r>
      <w:r w:rsidRPr="00D30124">
        <w:rPr>
          <w:rFonts w:ascii="Times New Roman" w:eastAsia="Times New Roman" w:hAnsi="Times New Roman" w:cs="Times New Roman"/>
          <w:color w:val="231F20"/>
          <w:sz w:val="16"/>
          <w:szCs w:val="16"/>
          <w:lang w:eastAsia="hr-HR"/>
        </w:rPr>
        <w:t>v. r.</w:t>
      </w:r>
    </w:p>
    <w:p w:rsidR="00D30124" w:rsidRPr="00D30124" w:rsidRDefault="00D30124" w:rsidP="00D30124">
      <w:pPr>
        <w:spacing w:before="153" w:after="0" w:line="240" w:lineRule="auto"/>
        <w:jc w:val="center"/>
        <w:textAlignment w:val="baseline"/>
        <w:rPr>
          <w:rFonts w:ascii="Times New Roman" w:eastAsia="Times New Roman" w:hAnsi="Times New Roman" w:cs="Times New Roman"/>
          <w:b/>
          <w:bCs/>
          <w:color w:val="231F20"/>
          <w:sz w:val="26"/>
          <w:szCs w:val="26"/>
          <w:lang w:eastAsia="hr-HR"/>
        </w:rPr>
      </w:pPr>
      <w:r w:rsidRPr="00D30124">
        <w:rPr>
          <w:rFonts w:ascii="Times New Roman" w:eastAsia="Times New Roman" w:hAnsi="Times New Roman" w:cs="Times New Roman"/>
          <w:b/>
          <w:bCs/>
          <w:color w:val="231F20"/>
          <w:sz w:val="26"/>
          <w:szCs w:val="26"/>
          <w:lang w:eastAsia="hr-HR"/>
        </w:rPr>
        <w:t>ZAKON</w:t>
      </w:r>
    </w:p>
    <w:p w:rsidR="00D30124" w:rsidRPr="00D30124" w:rsidRDefault="00D30124" w:rsidP="00D30124">
      <w:pPr>
        <w:spacing w:before="68" w:after="72" w:line="240" w:lineRule="auto"/>
        <w:jc w:val="center"/>
        <w:textAlignment w:val="baseline"/>
        <w:rPr>
          <w:rFonts w:ascii="Times New Roman" w:eastAsia="Times New Roman" w:hAnsi="Times New Roman" w:cs="Times New Roman"/>
          <w:b/>
          <w:bCs/>
          <w:color w:val="231F20"/>
          <w:sz w:val="19"/>
          <w:szCs w:val="19"/>
          <w:lang w:eastAsia="hr-HR"/>
        </w:rPr>
      </w:pPr>
      <w:r w:rsidRPr="00D30124">
        <w:rPr>
          <w:rFonts w:ascii="Times New Roman" w:eastAsia="Times New Roman" w:hAnsi="Times New Roman" w:cs="Times New Roman"/>
          <w:b/>
          <w:bCs/>
          <w:color w:val="231F20"/>
          <w:sz w:val="19"/>
          <w:szCs w:val="19"/>
          <w:lang w:eastAsia="hr-HR"/>
        </w:rPr>
        <w:t>O ČLANARINAMA U TURISTIČKIM ZAJEDNICAMA</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D30124">
        <w:rPr>
          <w:rFonts w:ascii="Times New Roman" w:eastAsia="Times New Roman" w:hAnsi="Times New Roman" w:cs="Times New Roman"/>
          <w:color w:val="231F20"/>
          <w:sz w:val="18"/>
          <w:szCs w:val="18"/>
          <w:lang w:eastAsia="hr-HR"/>
        </w:rPr>
        <w:t>DIO PRVI</w:t>
      </w:r>
      <w:r w:rsidRPr="00D30124">
        <w:rPr>
          <w:rFonts w:ascii="Minion Pro" w:eastAsia="Times New Roman" w:hAnsi="Minion Pro" w:cs="Times New Roman"/>
          <w:color w:val="231F20"/>
          <w:sz w:val="18"/>
          <w:szCs w:val="18"/>
          <w:lang w:eastAsia="hr-HR"/>
        </w:rPr>
        <w:br/>
      </w:r>
      <w:r w:rsidRPr="00D30124">
        <w:rPr>
          <w:rFonts w:ascii="Times New Roman" w:eastAsia="Times New Roman" w:hAnsi="Times New Roman" w:cs="Times New Roman"/>
          <w:color w:val="231F20"/>
          <w:sz w:val="18"/>
          <w:szCs w:val="18"/>
          <w:lang w:eastAsia="hr-HR"/>
        </w:rPr>
        <w:t>OPĆE ODREDBE</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Predmet Zakona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Ovim se Zakonom uređuje obveza plaćanja članarine, osnovice i stope po kojima se obračunava i plaća članarina turističkoj zajednici, način plaćanja članarine, evidencija, obračun i naplata članarine te druga pitanja od značenja za plaćanje i raspoređivanje članarine turističkoj zajednici.</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Rodno značenje izraza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2.</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Izrazi koji se koriste u ovome Zakonu, a imaju rodno značenje, odnose se jednako na muški i ženski rod.</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Članarina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3.</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Članarina je prihod turističkih zajednica, a raspoređuje se sukladno odredbama ovoga Zakona.</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Obveznik plaćanja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4.</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Pravna i fizička osoba koja ima svoje sjedište, prebivalište ili podružnicu, pogon, objekt u kojem se pruža usluga i slično (u daljnjem tekstu: poslovna jedinica), na području lokalne turističke zajednice koja je osnovana sukladno zakonu kojim se uređuje sustav turističkih zajednica, koja trajno ili sezonski ostvaruje prihod pružanjem ugostiteljskih usluga, usluga u turizmu ili obavlja djelatnost koja ima korist od turizma odnosno na čije prihode turizam ima utjecaj, plaća članarinu turističkoj zajednici.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Pravna osoba koja se s više od 50 % financira iz proračuna jedinica lokalne i područne (regionalne) samouprave ili državnog proračuna ne plaća članarinu turističkoj zajednici.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Djelatnosti koje su temelj za plaćanje članarine turističkoj zajednici propisane su člankom 5. ovoga Zakona.</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D30124">
        <w:rPr>
          <w:rFonts w:ascii="Times New Roman" w:eastAsia="Times New Roman" w:hAnsi="Times New Roman" w:cs="Times New Roman"/>
          <w:color w:val="231F20"/>
          <w:sz w:val="18"/>
          <w:szCs w:val="18"/>
          <w:lang w:eastAsia="hr-HR"/>
        </w:rPr>
        <w:t>DIO DRUGI</w:t>
      </w:r>
      <w:r w:rsidRPr="00D30124">
        <w:rPr>
          <w:rFonts w:ascii="Minion Pro" w:eastAsia="Times New Roman" w:hAnsi="Minion Pro" w:cs="Times New Roman"/>
          <w:color w:val="231F20"/>
          <w:sz w:val="18"/>
          <w:szCs w:val="18"/>
          <w:lang w:eastAsia="hr-HR"/>
        </w:rPr>
        <w:br/>
      </w:r>
      <w:r w:rsidRPr="00D30124">
        <w:rPr>
          <w:rFonts w:ascii="Times New Roman" w:eastAsia="Times New Roman" w:hAnsi="Times New Roman" w:cs="Times New Roman"/>
          <w:color w:val="231F20"/>
          <w:sz w:val="18"/>
          <w:szCs w:val="18"/>
          <w:lang w:eastAsia="hr-HR"/>
        </w:rPr>
        <w:t>DJELATNOSTI ZA KOJE SE PLAĆA ČLANARINA, STOPE I OSNOVICA ZA OBRAČUN I PLAĆANJE ČLANARINE</w:t>
      </w:r>
    </w:p>
    <w:p w:rsidR="00D30124" w:rsidRPr="00D30124" w:rsidRDefault="00D30124" w:rsidP="00D30124">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Djelatnosti za koje se plaća članarina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5.</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Članarinu turističkoj zajednici dužna je plaćati pravna i fizička osoba koja obavlja sljedeće djelatnosti, odnosno pruža sljedeće usluge razvrstane prema Nacionalnoj klasifikaciji djelatnosti: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PRVA SKUPINA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49.31 Gradski i prigradski kopneni prijevoz putnika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49.32 Taksi-služba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49.39 Ostali kopneni prijevoz putnika, d. n.</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50.1 Pomorski i obalni prijevoz putnika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51.10 Zračni prijevoz putnika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52.23 Uslužne djelatnosti u vezi sa zračnim prijevozom</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55 Smještaj</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56 Djelatnosti pripreme i usluživanja hrane i pića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65.12 Ostalo osiguranje, i to: osiguranje djece i školske mladeži od posljedica nezgode i posebna osiguranja mladeži od posljedica nezgode; osiguranje gostiju, posjetitelja priredbi, izletnika i turista od posljedica nezgode; putno zdravstveno osiguranje; turističko </w:t>
      </w:r>
      <w:r w:rsidRPr="00D30124">
        <w:rPr>
          <w:rFonts w:ascii="Times New Roman" w:eastAsia="Times New Roman" w:hAnsi="Times New Roman" w:cs="Times New Roman"/>
          <w:color w:val="231F20"/>
          <w:sz w:val="16"/>
          <w:szCs w:val="16"/>
          <w:lang w:eastAsia="hr-HR"/>
        </w:rPr>
        <w:lastRenderedPageBreak/>
        <w:t>osiguranje; osiguranje pomoći (asistencije) za vrijeme puta, izvan mjesta boravka ili prebivališta; ostala osiguranja turističkih rizika; osiguranje od odgovornosti vlasnika odnosno korisnika marine; osiguranje jamstva (osiguranje jamčevine za paket-aranžmane); osiguranje od otkaza turističkih putovanja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66.12 Djelatnosti posredovanja u poslovanju vrijednosnim papirima i robnim ugovorima (djelatnosti mjenjačnica)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68 Poslovanje nekretninama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73.11 Agencije za promidžbu, i to: kreiranje promidžbenih kampanja (kreiranje reklama u novinama, časopisima i ostalim medijima, kreiranje reklama na otvorenom prostoru, reklamiranje iz zraka, uređenje štandova i ostalih objekata i prostora) i vođenje marketinških kampanja i ostale usluge oglašavanja koje su usmjerene na privlačenje i zadržavanje kupaca (marketing na mjestu prodaje, oglašavanje izravnom poštom i marketinško savjetovanje)</w:t>
      </w:r>
    </w:p>
    <w:p w:rsidR="00D30124" w:rsidRPr="00D30124" w:rsidRDefault="00D30124" w:rsidP="00D30124">
      <w:pPr>
        <w:spacing w:after="0"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77.21 Iznajmljivanje i davanje u zakup </w:t>
      </w:r>
      <w:r w:rsidRPr="00D30124">
        <w:rPr>
          <w:rFonts w:ascii="Minion Pro" w:eastAsia="Times New Roman" w:hAnsi="Minion Pro" w:cs="Times New Roman"/>
          <w:i/>
          <w:iCs/>
          <w:color w:val="231F20"/>
          <w:sz w:val="18"/>
          <w:lang w:eastAsia="hr-HR"/>
        </w:rPr>
        <w:t>(</w:t>
      </w:r>
      <w:proofErr w:type="spellStart"/>
      <w:r w:rsidRPr="00D30124">
        <w:rPr>
          <w:rFonts w:ascii="Minion Pro" w:eastAsia="Times New Roman" w:hAnsi="Minion Pro" w:cs="Times New Roman"/>
          <w:i/>
          <w:iCs/>
          <w:color w:val="231F20"/>
          <w:sz w:val="18"/>
          <w:lang w:eastAsia="hr-HR"/>
        </w:rPr>
        <w:t>leasing</w:t>
      </w:r>
      <w:proofErr w:type="spellEnd"/>
      <w:r w:rsidRPr="00D30124">
        <w:rPr>
          <w:rFonts w:ascii="Minion Pro" w:eastAsia="Times New Roman" w:hAnsi="Minion Pro" w:cs="Times New Roman"/>
          <w:i/>
          <w:iCs/>
          <w:color w:val="231F20"/>
          <w:sz w:val="18"/>
          <w:lang w:eastAsia="hr-HR"/>
        </w:rPr>
        <w:t>) </w:t>
      </w:r>
      <w:r w:rsidRPr="00D30124">
        <w:rPr>
          <w:rFonts w:ascii="Times New Roman" w:eastAsia="Times New Roman" w:hAnsi="Times New Roman" w:cs="Times New Roman"/>
          <w:color w:val="231F20"/>
          <w:sz w:val="16"/>
          <w:szCs w:val="16"/>
          <w:lang w:eastAsia="hr-HR"/>
        </w:rPr>
        <w:t>opreme za rekreaciju i sport</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79 Putničke agencije, organizatori putovanja (turoperatori) i ostale rezervacijske usluge te djelatnosti povezane s njima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82.3 Organizacija sastanaka i poslovnih sajmova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92 Djelatnosti kockanja i klađenja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93.12 Djelatnosti sportskih klubova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93.21 Djelatnosti zabavnih i tematskih parkova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93.29 Ostale zabavne i rekreacijske djelatnosti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DRUGA SKUPINA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50.3 Prijevoz putnika unutrašnjim vodenim putovima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52.29 Ostale prateće djelatnosti u prijevozu</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61 Elektroničke komunikacije</w:t>
      </w:r>
    </w:p>
    <w:p w:rsidR="00D30124" w:rsidRPr="00D30124" w:rsidRDefault="00D30124" w:rsidP="00D30124">
      <w:pPr>
        <w:spacing w:after="0"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77.11 Iznajmljivanje i davanje u zakup </w:t>
      </w:r>
      <w:r w:rsidRPr="00D30124">
        <w:rPr>
          <w:rFonts w:ascii="Minion Pro" w:eastAsia="Times New Roman" w:hAnsi="Minion Pro" w:cs="Times New Roman"/>
          <w:i/>
          <w:iCs/>
          <w:color w:val="231F20"/>
          <w:sz w:val="18"/>
          <w:lang w:eastAsia="hr-HR"/>
        </w:rPr>
        <w:t>(</w:t>
      </w:r>
      <w:proofErr w:type="spellStart"/>
      <w:r w:rsidRPr="00D30124">
        <w:rPr>
          <w:rFonts w:ascii="Minion Pro" w:eastAsia="Times New Roman" w:hAnsi="Minion Pro" w:cs="Times New Roman"/>
          <w:i/>
          <w:iCs/>
          <w:color w:val="231F20"/>
          <w:sz w:val="18"/>
          <w:lang w:eastAsia="hr-HR"/>
        </w:rPr>
        <w:t>leasing</w:t>
      </w:r>
      <w:proofErr w:type="spellEnd"/>
      <w:r w:rsidRPr="00D30124">
        <w:rPr>
          <w:rFonts w:ascii="Minion Pro" w:eastAsia="Times New Roman" w:hAnsi="Minion Pro" w:cs="Times New Roman"/>
          <w:i/>
          <w:iCs/>
          <w:color w:val="231F20"/>
          <w:sz w:val="18"/>
          <w:lang w:eastAsia="hr-HR"/>
        </w:rPr>
        <w:t>) </w:t>
      </w:r>
      <w:r w:rsidRPr="00D30124">
        <w:rPr>
          <w:rFonts w:ascii="Times New Roman" w:eastAsia="Times New Roman" w:hAnsi="Times New Roman" w:cs="Times New Roman"/>
          <w:color w:val="231F20"/>
          <w:sz w:val="16"/>
          <w:szCs w:val="16"/>
          <w:lang w:eastAsia="hr-HR"/>
        </w:rPr>
        <w:t>automobila i motornih vozila lake kategorije</w:t>
      </w:r>
    </w:p>
    <w:p w:rsidR="00D30124" w:rsidRPr="00D30124" w:rsidRDefault="00D30124" w:rsidP="00D30124">
      <w:pPr>
        <w:spacing w:after="0"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77.34 Iznajmljivanje i davanje u zakup </w:t>
      </w:r>
      <w:r w:rsidRPr="00D30124">
        <w:rPr>
          <w:rFonts w:ascii="Minion Pro" w:eastAsia="Times New Roman" w:hAnsi="Minion Pro" w:cs="Times New Roman"/>
          <w:i/>
          <w:iCs/>
          <w:color w:val="231F20"/>
          <w:sz w:val="18"/>
          <w:lang w:eastAsia="hr-HR"/>
        </w:rPr>
        <w:t>(</w:t>
      </w:r>
      <w:proofErr w:type="spellStart"/>
      <w:r w:rsidRPr="00D30124">
        <w:rPr>
          <w:rFonts w:ascii="Minion Pro" w:eastAsia="Times New Roman" w:hAnsi="Minion Pro" w:cs="Times New Roman"/>
          <w:i/>
          <w:iCs/>
          <w:color w:val="231F20"/>
          <w:sz w:val="18"/>
          <w:lang w:eastAsia="hr-HR"/>
        </w:rPr>
        <w:t>leasing</w:t>
      </w:r>
      <w:proofErr w:type="spellEnd"/>
      <w:r w:rsidRPr="00D30124">
        <w:rPr>
          <w:rFonts w:ascii="Minion Pro" w:eastAsia="Times New Roman" w:hAnsi="Minion Pro" w:cs="Times New Roman"/>
          <w:i/>
          <w:iCs/>
          <w:color w:val="231F20"/>
          <w:sz w:val="18"/>
          <w:lang w:eastAsia="hr-HR"/>
        </w:rPr>
        <w:t>) </w:t>
      </w:r>
      <w:r w:rsidRPr="00D30124">
        <w:rPr>
          <w:rFonts w:ascii="Times New Roman" w:eastAsia="Times New Roman" w:hAnsi="Times New Roman" w:cs="Times New Roman"/>
          <w:color w:val="231F20"/>
          <w:sz w:val="16"/>
          <w:szCs w:val="16"/>
          <w:lang w:eastAsia="hr-HR"/>
        </w:rPr>
        <w:t>plovnih prijevoznih sredstava</w:t>
      </w:r>
    </w:p>
    <w:p w:rsidR="00D30124" w:rsidRPr="00D30124" w:rsidRDefault="00D30124" w:rsidP="00D30124">
      <w:pPr>
        <w:spacing w:after="0"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77.35 Iznajmljivanje i davanje u zakup </w:t>
      </w:r>
      <w:r w:rsidRPr="00D30124">
        <w:rPr>
          <w:rFonts w:ascii="Minion Pro" w:eastAsia="Times New Roman" w:hAnsi="Minion Pro" w:cs="Times New Roman"/>
          <w:i/>
          <w:iCs/>
          <w:color w:val="231F20"/>
          <w:sz w:val="18"/>
          <w:lang w:eastAsia="hr-HR"/>
        </w:rPr>
        <w:t>(</w:t>
      </w:r>
      <w:proofErr w:type="spellStart"/>
      <w:r w:rsidRPr="00D30124">
        <w:rPr>
          <w:rFonts w:ascii="Minion Pro" w:eastAsia="Times New Roman" w:hAnsi="Minion Pro" w:cs="Times New Roman"/>
          <w:i/>
          <w:iCs/>
          <w:color w:val="231F20"/>
          <w:sz w:val="18"/>
          <w:lang w:eastAsia="hr-HR"/>
        </w:rPr>
        <w:t>leasing</w:t>
      </w:r>
      <w:proofErr w:type="spellEnd"/>
      <w:r w:rsidRPr="00D30124">
        <w:rPr>
          <w:rFonts w:ascii="Minion Pro" w:eastAsia="Times New Roman" w:hAnsi="Minion Pro" w:cs="Times New Roman"/>
          <w:i/>
          <w:iCs/>
          <w:color w:val="231F20"/>
          <w:sz w:val="18"/>
          <w:lang w:eastAsia="hr-HR"/>
        </w:rPr>
        <w:t>) </w:t>
      </w:r>
      <w:r w:rsidRPr="00D30124">
        <w:rPr>
          <w:rFonts w:ascii="Times New Roman" w:eastAsia="Times New Roman" w:hAnsi="Times New Roman" w:cs="Times New Roman"/>
          <w:color w:val="231F20"/>
          <w:sz w:val="16"/>
          <w:szCs w:val="16"/>
          <w:lang w:eastAsia="hr-HR"/>
        </w:rPr>
        <w:t>zračnih prijevoznih sredstava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TREĆA SKUPINA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45.20 Održavanje i popravak motornih vozila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53 Poštanske i kurirske djelatnosti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59.11 Proizvodnja filmova, </w:t>
      </w:r>
      <w:proofErr w:type="spellStart"/>
      <w:r w:rsidRPr="00D30124">
        <w:rPr>
          <w:rFonts w:ascii="Times New Roman" w:eastAsia="Times New Roman" w:hAnsi="Times New Roman" w:cs="Times New Roman"/>
          <w:color w:val="231F20"/>
          <w:sz w:val="16"/>
          <w:szCs w:val="16"/>
          <w:lang w:eastAsia="hr-HR"/>
        </w:rPr>
        <w:t>videofilmova</w:t>
      </w:r>
      <w:proofErr w:type="spellEnd"/>
      <w:r w:rsidRPr="00D30124">
        <w:rPr>
          <w:rFonts w:ascii="Times New Roman" w:eastAsia="Times New Roman" w:hAnsi="Times New Roman" w:cs="Times New Roman"/>
          <w:color w:val="231F20"/>
          <w:sz w:val="16"/>
          <w:szCs w:val="16"/>
          <w:lang w:eastAsia="hr-HR"/>
        </w:rPr>
        <w:t xml:space="preserve"> i televizijskog programa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59.14 Djelatnosti prikazivanja filmova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81.30 Uslužne djelatnosti uređenja i održavanja krajolika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90.01 Izvođačka umjetnost</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90.04 Rad umjetničkih objekata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ČETVRTA SKUPINA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45.1 Trgovina motornim vozilima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45.32 Trgovina na malo dijelovima i priborom za motorna vozila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45.40 Trgovina motociklima, dijelovima i priborom za motocikle te održavanje i popravak motocikala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47 Trgovina na malo, osim trgovine motornim vozilima i motociklima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58.11 Izdavanje knjiga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58.13 Izdavanje novina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58.14 Izdavanje časopisa i periodičnih publikacija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58.19 Ostala izdavačka djelatnost</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59.13 Distribucija filmova, </w:t>
      </w:r>
      <w:proofErr w:type="spellStart"/>
      <w:r w:rsidRPr="00D30124">
        <w:rPr>
          <w:rFonts w:ascii="Times New Roman" w:eastAsia="Times New Roman" w:hAnsi="Times New Roman" w:cs="Times New Roman"/>
          <w:color w:val="231F20"/>
          <w:sz w:val="16"/>
          <w:szCs w:val="16"/>
          <w:lang w:eastAsia="hr-HR"/>
        </w:rPr>
        <w:t>videofilmova</w:t>
      </w:r>
      <w:proofErr w:type="spellEnd"/>
      <w:r w:rsidRPr="00D30124">
        <w:rPr>
          <w:rFonts w:ascii="Times New Roman" w:eastAsia="Times New Roman" w:hAnsi="Times New Roman" w:cs="Times New Roman"/>
          <w:color w:val="231F20"/>
          <w:sz w:val="16"/>
          <w:szCs w:val="16"/>
          <w:lang w:eastAsia="hr-HR"/>
        </w:rPr>
        <w:t xml:space="preserve"> i televizijskog programa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59.2 Djelatnosti snimanja zvučnih zapisa i izdavanja glazbenih zapisa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60 Emitiranje programa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74.1 Specijalizirane dizajnerske djelatnosti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PETA SKUPINA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45 Trgovina na veliko i na malo motornim vozilima i motociklima; popravak motornih vozila i motocikala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45.31 Trgovina na veliko dijelovima i priborom za motorna vozila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46.2 Trgovina na veliko poljoprivrednim sirovinama i živom stokom</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46.3 Trgovina na veliko hranom, pićima i duhanom</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46.4 Trgovina na veliko proizvodima za kućanstvo</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46.5 Trgovina na veliko informacijsko-komunikacijskom opremom</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46.6 Trgovina na veliko ostalim strojevima, opremom i priborom</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46.7 Ostala specijalizirana trgovina na veliko</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46.9 Nespecijalizirana trgovina na veliko.</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Članarinu turističkoj zajednici dužne su plaćati i banke koje imaju odobrenje za rad Hrvatske narodne banke za prihode u bilanci iz skupine »Prihod od provizija i naknada«, a prema stopi za obračun i plaćanje članarine koja je člankom 6. ovoga Zakona propisana za drugu skupinu obveznika plaćanja članarine.</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Stope za obračun i plaćanje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6.</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Obveznici plaćanja članarine iz članka 5. ovoga Zakona plaćaju članarinu po sljedećim stopama:</w:t>
      </w:r>
    </w:p>
    <w:tbl>
      <w:tblPr>
        <w:tblW w:w="8168" w:type="dxa"/>
        <w:tblCellMar>
          <w:left w:w="0" w:type="dxa"/>
          <w:right w:w="0" w:type="dxa"/>
        </w:tblCellMar>
        <w:tblLook w:val="04A0"/>
      </w:tblPr>
      <w:tblGrid>
        <w:gridCol w:w="5202"/>
        <w:gridCol w:w="2966"/>
      </w:tblGrid>
      <w:tr w:rsidR="00D30124" w:rsidRPr="00D30124" w:rsidTr="00D30124">
        <w:tc>
          <w:tcPr>
            <w:tcW w:w="5117" w:type="dxa"/>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lastRenderedPageBreak/>
              <w:t>Prva skupina</w:t>
            </w:r>
          </w:p>
        </w:tc>
        <w:tc>
          <w:tcPr>
            <w:tcW w:w="2917" w:type="dxa"/>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jc w:val="center"/>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0,16150</w:t>
            </w:r>
          </w:p>
        </w:tc>
      </w:tr>
      <w:tr w:rsidR="00D30124" w:rsidRPr="00D30124" w:rsidTr="00D30124">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Druga skupina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jc w:val="center"/>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0,12920</w:t>
            </w:r>
          </w:p>
        </w:tc>
      </w:tr>
      <w:tr w:rsidR="00D30124" w:rsidRPr="00D30124" w:rsidTr="00D30124">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Treća skupina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jc w:val="center"/>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0,09690</w:t>
            </w:r>
          </w:p>
        </w:tc>
      </w:tr>
      <w:tr w:rsidR="00D30124" w:rsidRPr="00D30124" w:rsidTr="00D30124">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Četvrta skupina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jc w:val="center"/>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0,03230</w:t>
            </w:r>
          </w:p>
        </w:tc>
      </w:tr>
      <w:tr w:rsidR="00D30124" w:rsidRPr="00D30124" w:rsidTr="00D30124">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Peta skupina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120" w:type="dxa"/>
              <w:right w:w="96" w:type="dxa"/>
            </w:tcMar>
            <w:vAlign w:val="center"/>
            <w:hideMark/>
          </w:tcPr>
          <w:p w:rsidR="00D30124" w:rsidRPr="00D30124" w:rsidRDefault="00D30124" w:rsidP="00D30124">
            <w:pPr>
              <w:spacing w:after="0" w:line="240" w:lineRule="auto"/>
              <w:jc w:val="center"/>
              <w:rPr>
                <w:rFonts w:ascii="Minion Pro" w:eastAsia="Times New Roman" w:hAnsi="Minion Pro" w:cs="Times New Roman"/>
                <w:sz w:val="16"/>
                <w:szCs w:val="16"/>
                <w:lang w:eastAsia="hr-HR"/>
              </w:rPr>
            </w:pPr>
            <w:r w:rsidRPr="00D30124">
              <w:rPr>
                <w:rFonts w:ascii="Minion Pro" w:eastAsia="Times New Roman" w:hAnsi="Minion Pro" w:cs="Times New Roman"/>
                <w:sz w:val="16"/>
                <w:szCs w:val="16"/>
                <w:lang w:eastAsia="hr-HR"/>
              </w:rPr>
              <w:t>0,01938</w:t>
            </w:r>
          </w:p>
        </w:tc>
      </w:tr>
    </w:tbl>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Osnovica za obračun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7.</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Osnovicu za obračun članarine za pravne i fizičke osobe koje su obveznici plaćanja poreza na dobit čine svi prihodi koje te osobe ostvaruju pružanjem ugostiteljskih usluga, usluga u turizmu ili obavljanjem s turizmom neposredno povezanih djelatnosti u poslovnim jedinicama koje posluju na području lokalne turističke zajednice.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Osnovicu za obračun članarine za fizičke osobe koje su obveznici plaćanja poreza na dohodak čine svi primici koje te osobe ostvaruju pružanjem ugostiteljskih usluga, usluga u turizmu ili obavljanjem s turizmom neposredno povezanih djelatnosti u poslovnim jedinicama koje posluju na području lokalne turističke zajednice.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Iznimno od stavka 1. ovoga članka, za obveznike poreza na dobit koji poreznu osnovicu utvrđuju u paušalnom iznosu, osnovicu za obračun članarine čine ukupni prihodi od obavljanja gospodarske djelatnosti po osnovi koje je obveznik poreza na dobit.</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 Iznimno od stavka 2. ovoga članka, za obveznike poreza na dohodak od samostalne djelatnosti koji poreznu osnovicu utvrđuju u paušalnom iznosu, osnovicu za obračun članarine čine ukupno ostvareni naplaćeni primici.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 Za svaku poslovnu jedinicu izvan sjedišta pravne i fizičke osobe posebno se utvrđuje ukupni prihod odnosno ukupni primitak za osnovicu za obračun članarine.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(6) Pravnoj i fizičkoj osobi koja utvrđuje osnovicu za obračun članarine sukladno stavku 5. ovoga članka, osnovica za obračun članarine smanjuje se za dio njezinih prihoda ili primitaka ostvarenih u poslovnim jedinicama.</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D30124">
        <w:rPr>
          <w:rFonts w:ascii="Times New Roman" w:eastAsia="Times New Roman" w:hAnsi="Times New Roman" w:cs="Times New Roman"/>
          <w:color w:val="231F20"/>
          <w:sz w:val="18"/>
          <w:szCs w:val="18"/>
          <w:lang w:eastAsia="hr-HR"/>
        </w:rPr>
        <w:t>DIO TREĆI</w:t>
      </w:r>
      <w:r w:rsidRPr="00D30124">
        <w:rPr>
          <w:rFonts w:ascii="Minion Pro" w:eastAsia="Times New Roman" w:hAnsi="Minion Pro" w:cs="Times New Roman"/>
          <w:color w:val="231F20"/>
          <w:sz w:val="18"/>
          <w:szCs w:val="18"/>
          <w:lang w:eastAsia="hr-HR"/>
        </w:rPr>
        <w:br/>
      </w:r>
      <w:r w:rsidRPr="00D30124">
        <w:rPr>
          <w:rFonts w:ascii="Times New Roman" w:eastAsia="Times New Roman" w:hAnsi="Times New Roman" w:cs="Times New Roman"/>
          <w:color w:val="231F20"/>
          <w:sz w:val="18"/>
          <w:szCs w:val="18"/>
          <w:lang w:eastAsia="hr-HR"/>
        </w:rPr>
        <w:t>PLAĆANJE ČLANARINE</w:t>
      </w:r>
    </w:p>
    <w:p w:rsidR="00D30124" w:rsidRPr="00D30124" w:rsidRDefault="00D30124" w:rsidP="00D30124">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Visina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8.</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Visina članarine koju plaća pravna i fizička osoba ovisi o skupini u koju je razvrstana djelatnost kojom se pravna ili fizička osoba bavi te o pripadajućoj stopi za obračun i plaćanje članarine iz članka 6. ovoga Zakona.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Pravna i fizička osoba iz stavka 1. ovoga članka može članarinu platiti i primjenom stope propisane za djelatnost koju pravna ili fizička osoba obavlja pretežito u odnosu na ostale djelatnosti za koje je upisana u registar trgovačkog suda, obrtni registar ili drugi odgovarajući registar, na ukupno ostvareni prihod ili primitak, ako je za nju to povoljnije.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Iznimno od stavka 1. ovoga članka, visina članarine koju plaća osoba koja pruža ugostiteljske usluge u domaćinstvu ili na obiteljskom poljoprivrednom gospodarstvu ovisi o broju kreveta u sobi, apartmanu ili kući za odmor i broju smještajnih jedinica u kampu i kamp-odmorištu odnosno prema kapacitetu u objektu za robinzonski smještaj, a sukladno propisu kojim se uređuje obavljanje ugostiteljske djelatnosti.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 Pravne i fizičke osobe iz članka 4. stavka 1. ovoga Zakona koje obavljaju djelatnost na područjima općina i gradova koja se smatraju potpomognutim područjima (I. – IV. razvojna skupina jedinice lokalne samouprave) sukladno odluci kojom se uređuje razvrstavanje jedinica lokalne samouprave prema stupnju razvijenosti, plaćaju članarinu umanjenu za 20 %.</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 Dragovoljni članovi turističke zajednice koji se određuju sukladno zakonu kojim se uređuje sustav turističkih zajednica članarinu plaćaju lokalnoj turističkoj zajednici u visini i na način propisan tim zakonom.</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Mjesto plaćanja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9.</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Pravna i fizička osoba članarinu plaća na području općine, grada ili Grada Zagreba u kojem ima sjedište odnosno prebivalište, a za poslovne jedinice na području općine, grada ili Grada Zagreba gdje je sjedište poslovne jedinice.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Pravna i fizička osoba koja djelatnost obavlja bez poslovne prostorije članarinu plaća na području općine, grada ili Grada Zagreba gdje obavlja djelatnost.</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Pravne i fizičke osobe koje obavljaju gospodarsku djelatnost</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10.</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Pravna osoba i fizička osoba obrtnik plaća mjesečni predujam članarine u svoti koja se dobije kada se obračunana svota članarine za prethodno porezno razdoblje podijeli s brojem mjeseci istoga razdoblja.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Osobe iz stavka 1. ovoga članka mjesečni predujam članarine plaćaju do posljednjeg dana u mjesecu za tekući mjesec.</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Iznimno od stavaka 1. i 2. ovoga članka, ukupni godišnji predujam članarine može se platiti jednokratno, u roku za plaćanje predujma za mjesec u kojem je predan Obrazac TZ-a odnosno najkasnije do kraja veljače tekuće godine (obveznici poreza na dohodak) ili do kraja travnja tekuće godine (obveznici poreza na dobit).</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 Konačni obračun članarine osoba iz stavaka 1. i 2. ovoga članka obavlja se u rokovima i na način propisan za obračun i naplatu poreza na dobit odnosno poreza na dohodak.</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 Ako osoba iz stavka 1. ovoga članka u vidu predujma plati više članarine nego što je dužna po konačnom obračunu, preplaćeni dio vraća joj se na njezin zahtjev ili se uračunava u sljedeće razdoblje plaćanja članarine.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lastRenderedPageBreak/>
        <w:t>(6) Ako osoba iz stavka 1. ovoga članka ne uplati članarinu u ovim Zakonom utvrđenom iznosu i roku, postupit će se sukladno propisu kojim se uređuje postupak prisilne naplate poreza.</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Osobe koje pružaju ugostiteljske usluge u domaćinstvu ili na obiteljskom poljoprivrednom gospodarstvu</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11.</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Fizička osoba koja pruža ugostiteljske usluge u domaćinstvu ili na obiteljskom poljoprivrednom gospodarstvu plaća godišnji paušalni iznos članarine za svaki krevet u sobi, apartmanu i kući za odmor, za svaku smještajnu jedinicu u kampu i kamp-odmorištu te prema kapacitetu u objektu za robinzonski smještaj koji se koriste za pružanje usluga smještaja sukladno propisu kojim se uređuje obavljanje ugostiteljske djelatnosti.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Iznimno od stavka 1. ovoga članka, fizička osoba koja sukladno posebnim propisima vodi poslovne knjige, članarinu plaća sukladno članku 10. ovoga Zakona.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Godišnji paušalni iznos članarine osoba iz stavka 1. ovoga članka može platiti jednokratno do 31. srpnja tekuće godine ili u tri jednaka obroka, s time da prvi obrok dospijeva 31. srpnja, drugi 31. kolovoza, a treći 30. rujna tekuće godine.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 Godišnji paušalni iznos članarine za osobe iz stavka 1. ovoga članka je umnožak najvećeg broja kreveta u sobi, apartmanu i kući za odmor odnosno najvećeg broja smještajnih jedinica u kampu i kamp-odmorištu odnosno kapaciteta u objektu za robinzonski smještaj u prethodnoj godini, koji su utvrđeni rješenjem o odobrenju za pružanje ugostiteljskih usluga u domaćinstvu ili na obiteljskom poljoprivrednom gospodarstvu, i iznosa članarine za svaki krevet odnosno smještajnu jedinicu u kampu i kamp-odmorištu odnosno kapacitet u objektu za robinzonski smještaj.</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(5) Broj kreveta, broj smještajnih jedinica te kapacitet za objekte za robinzonski smještaj iz stavka 1. ovoga članka određuje se prema podacima iz sustava </w:t>
      </w:r>
      <w:proofErr w:type="spellStart"/>
      <w:r w:rsidRPr="00D30124">
        <w:rPr>
          <w:rFonts w:ascii="Times New Roman" w:eastAsia="Times New Roman" w:hAnsi="Times New Roman" w:cs="Times New Roman"/>
          <w:color w:val="231F20"/>
          <w:sz w:val="16"/>
          <w:szCs w:val="16"/>
          <w:lang w:eastAsia="hr-HR"/>
        </w:rPr>
        <w:t>eVisitor</w:t>
      </w:r>
      <w:proofErr w:type="spellEnd"/>
      <w:r w:rsidRPr="00D30124">
        <w:rPr>
          <w:rFonts w:ascii="Times New Roman" w:eastAsia="Times New Roman" w:hAnsi="Times New Roman" w:cs="Times New Roman"/>
          <w:color w:val="231F20"/>
          <w:sz w:val="16"/>
          <w:szCs w:val="16"/>
          <w:lang w:eastAsia="hr-HR"/>
        </w:rPr>
        <w:t>.</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(6) Iznos članarine za svaki krevet u sobi, apartmanu i kući za odmor, za svaku smještajnu jedinicu u kampu i kamp-odmorištu te za objekte za robinzonski smještaj iz stavka 4. ovoga članka ministar nadležan za turizam (u daljnjem tekstu: ministar) propisuje pravilnikom.</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D30124">
        <w:rPr>
          <w:rFonts w:ascii="Times New Roman" w:eastAsia="Times New Roman" w:hAnsi="Times New Roman" w:cs="Times New Roman"/>
          <w:color w:val="231F20"/>
          <w:sz w:val="18"/>
          <w:szCs w:val="18"/>
          <w:lang w:eastAsia="hr-HR"/>
        </w:rPr>
        <w:t>DIO ČETVRTI</w:t>
      </w:r>
      <w:r w:rsidRPr="00D30124">
        <w:rPr>
          <w:rFonts w:ascii="Minion Pro" w:eastAsia="Times New Roman" w:hAnsi="Minion Pro" w:cs="Times New Roman"/>
          <w:color w:val="231F20"/>
          <w:sz w:val="18"/>
          <w:szCs w:val="18"/>
          <w:lang w:eastAsia="hr-HR"/>
        </w:rPr>
        <w:br/>
      </w:r>
      <w:r w:rsidRPr="00D30124">
        <w:rPr>
          <w:rFonts w:ascii="Times New Roman" w:eastAsia="Times New Roman" w:hAnsi="Times New Roman" w:cs="Times New Roman"/>
          <w:color w:val="231F20"/>
          <w:sz w:val="18"/>
          <w:szCs w:val="18"/>
          <w:lang w:eastAsia="hr-HR"/>
        </w:rPr>
        <w:t>EVIDENCIJA, RASPOREĐIVANJE I DOSTAVA PODATAKA O OSNOVICI ZA OBRAČUN ČLANARINE</w:t>
      </w:r>
    </w:p>
    <w:p w:rsidR="00D30124" w:rsidRPr="00D30124" w:rsidRDefault="00D30124" w:rsidP="00D30124">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Evidencija i raspoređivanje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12.</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Poslove evidencije, obračuna i naplate članarine od pravnih i fizičkih osoba obavlja Ministarstvo financija, Porezna uprava (u daljnjem tekstu: Porezna uprava).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Pravna ili fizička osoba uplaćuje članarinu na račun utvrđen propisima o prihodima za financiranje drugih javnih potreba.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Od ukupno uplaćenih sredstava članarine, financijska institucija kod koje je otvoren račun iz stavka 2. ovoga članka, 9 % sredstava izdvaja na posebni račun Hrvatske turističke zajednice (Fond za turistički nedovoljno razvijena područja i kontinent) i 2 % na posebni račun Hrvatske turističke zajednice za projekte i programe udruženih turističkih zajednica (Fond za udružene turističke zajednice), a preostala sredstva raspoređuju se: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65 % sredstava lokalnoj turističkoj zajednici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15 % sredstava regionalnoj turističkoj zajednici koja je osnovana sukladno zakonu kojim se uređuje sustav turističkih zajednica 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20 % sredstava Hrvatskoj turističkoj zajednici (u daljnjem tekstu: HTZ).</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 Iznimno od stavka 3. ovoga članka, za lokalne turističke zajednice koje su ostvarile izvorni prihod manji od 200.000,00 kuna godišnje, prema podacima Financijske agencije za prethodnu godinu, 2 % sredstava raspoređuje se na posebni račun HTZ-a za projekte i programe udruženih turističkih zajednica, a preostala sredstva raspoređuju se: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80 % lokalnoj turističkoj zajednici 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20 % regionalnoj turističkoj zajednici.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(5) Pravne osobe koje obavljaju djelatnosti iz članka 5. stavka 2. ovoga Zakona uplaćuju članarinu na poseban račun, s kojeg se raspodjela sredstava vrši prema stavcima 3. i 4. ovoga članka, s tim da se sredstva lokalnim i regionalnim turističkim zajednicama raspoređuju prema broju stanovnika općina ili gradova odnosno županija za područje kojih su osnovane turističke zajednice, prema službenim podacima Državnog zavoda za statistiku o posljednjem popisu stanovništva.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(6) HTZ sredstva iz Fonda za turistički nedovoljno razvijena područja i kontinent dostavlja regionalnim turističkim zajednicama koje ostvaruju izvorni prihod od turističke pristojbe i članarine manji od 500.000,00 kuna godišnje kao razliku do iznosa od 500.000,00 kuna.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(7) Porezna uprava dostavlja lokalnim turističkim zajednicama, HTZ-u i ministarstvu nadležnom za turizam (u daljnjem tekstu: Ministarstvo) jednom mjesečno podatke iz stavka 1. ovoga članka putem sustava </w:t>
      </w:r>
      <w:proofErr w:type="spellStart"/>
      <w:r w:rsidRPr="00D30124">
        <w:rPr>
          <w:rFonts w:ascii="Times New Roman" w:eastAsia="Times New Roman" w:hAnsi="Times New Roman" w:cs="Times New Roman"/>
          <w:color w:val="231F20"/>
          <w:sz w:val="16"/>
          <w:szCs w:val="16"/>
          <w:lang w:eastAsia="hr-HR"/>
        </w:rPr>
        <w:t>eVisitor</w:t>
      </w:r>
      <w:proofErr w:type="spellEnd"/>
      <w:r w:rsidRPr="00D30124">
        <w:rPr>
          <w:rFonts w:ascii="Times New Roman" w:eastAsia="Times New Roman" w:hAnsi="Times New Roman" w:cs="Times New Roman"/>
          <w:color w:val="231F20"/>
          <w:sz w:val="16"/>
          <w:szCs w:val="16"/>
          <w:lang w:eastAsia="hr-HR"/>
        </w:rPr>
        <w:t>.</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(8) Izvornim prihodom iz stavaka 4. i 6. ovoga članka smatraju se sredstva koja su prikupljena i evidentirana na računima za uplatu turističke pristojbe i članarine lokalnim turističkim zajednicama te raspoređena korisnicima.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(9) Troškovi evidencije, obračuna i naplate članarine te dostave podataka iz stavaka 1. i 7. ovoga članka iznose 3 % od naplaćene članarine.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(10) HTZ raspisuje javni natječaj za dodjelu sredstava Fonda za turistički nedovoljno razvijena područja i kontinent regionalnim turističkim zajednicama na turistički nedovoljno razvijenim područjima, a regionalne turističke zajednice raspisuju javni natječaj za dodjelu tih sredstava lokalnim turističkim zajednicama na turistički nedovoljno razvijenim područjima na temelju kriterija koje ministar propisuje pravilnikom.</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(11) HTZ sredstva iz Fonda za udružene turističke zajednice dostavlja udruženim turističkim zajednicama na temelju kriterija koje ministar propisuje pravilnikom.</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Dostava podataka o osnovici za obračun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13.</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Osobe iz članka 10. ovoga Zakona dostavljaju nadležnoj ispostavi Porezne uprave prema sjedištu pravne osobe odnosno prebivalištu fizičke osobe zbirni podatak o osnovici za obračun članarine sukladno odredbama članka 7. ovoga Zakona, objedinjeno za sjedište pravne osobe odnosno prebivalište fizičke osobe i za poslovne jedinice.</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lastRenderedPageBreak/>
        <w:t xml:space="preserve">(2) Podatak iz stavka 1. ovoga članka dostavlja se nadležnoj ispostavi Porezne uprave na posebnom obrascu za prijavu podataka za obračun članarine u turističkoj zajednici (Obrazac TZ-a) ili putem sustava </w:t>
      </w:r>
      <w:proofErr w:type="spellStart"/>
      <w:r w:rsidRPr="00D30124">
        <w:rPr>
          <w:rFonts w:ascii="Times New Roman" w:eastAsia="Times New Roman" w:hAnsi="Times New Roman" w:cs="Times New Roman"/>
          <w:color w:val="231F20"/>
          <w:sz w:val="16"/>
          <w:szCs w:val="16"/>
          <w:lang w:eastAsia="hr-HR"/>
        </w:rPr>
        <w:t>ePorezna</w:t>
      </w:r>
      <w:proofErr w:type="spellEnd"/>
      <w:r w:rsidRPr="00D30124">
        <w:rPr>
          <w:rFonts w:ascii="Times New Roman" w:eastAsia="Times New Roman" w:hAnsi="Times New Roman" w:cs="Times New Roman"/>
          <w:color w:val="231F20"/>
          <w:sz w:val="16"/>
          <w:szCs w:val="16"/>
          <w:lang w:eastAsia="hr-HR"/>
        </w:rPr>
        <w:t>, s time da se u prilogu zbirnog obrasca na razini obveznika dostavlja razrada po poslovnim jedinicama odnosno djelatnostima.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(3) Oblik i sadržaj obrasca iz stavka 2. ovoga članka te način dostave podatka iz stavka 1. ovoga članka putem sustava </w:t>
      </w:r>
      <w:proofErr w:type="spellStart"/>
      <w:r w:rsidRPr="00D30124">
        <w:rPr>
          <w:rFonts w:ascii="Times New Roman" w:eastAsia="Times New Roman" w:hAnsi="Times New Roman" w:cs="Times New Roman"/>
          <w:color w:val="231F20"/>
          <w:sz w:val="16"/>
          <w:szCs w:val="16"/>
          <w:lang w:eastAsia="hr-HR"/>
        </w:rPr>
        <w:t>ePorezna</w:t>
      </w:r>
      <w:proofErr w:type="spellEnd"/>
      <w:r w:rsidRPr="00D30124">
        <w:rPr>
          <w:rFonts w:ascii="Times New Roman" w:eastAsia="Times New Roman" w:hAnsi="Times New Roman" w:cs="Times New Roman"/>
          <w:color w:val="231F20"/>
          <w:sz w:val="16"/>
          <w:szCs w:val="16"/>
          <w:lang w:eastAsia="hr-HR"/>
        </w:rPr>
        <w:t xml:space="preserve"> ministar uz prethodnu suglasnost ministra nadležnog za financije propisuje pravilnikom.</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(4) Osoba iz članka 11. stavka 1. ovoga Zakona podnosi nadležnoj ispostavi Porezne uprave, do 15. siječnja tekuće godine za prethodnu godinu u kojoj je u obvezi obračunati i uplatiti članarinu turističkoj zajednici, posebni Obrazac TZ-a čiji oblik i sadržaj ministar uz prethodnu suglasnost ministra nadležnog za financije propisuje pravilnikom.</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D30124">
        <w:rPr>
          <w:rFonts w:ascii="Times New Roman" w:eastAsia="Times New Roman" w:hAnsi="Times New Roman" w:cs="Times New Roman"/>
          <w:color w:val="231F20"/>
          <w:sz w:val="18"/>
          <w:szCs w:val="18"/>
          <w:lang w:eastAsia="hr-HR"/>
        </w:rPr>
        <w:t>DIO PETI</w:t>
      </w:r>
      <w:r w:rsidRPr="00D30124">
        <w:rPr>
          <w:rFonts w:ascii="Minion Pro" w:eastAsia="Times New Roman" w:hAnsi="Minion Pro" w:cs="Times New Roman"/>
          <w:color w:val="231F20"/>
          <w:sz w:val="18"/>
          <w:szCs w:val="18"/>
          <w:lang w:eastAsia="hr-HR"/>
        </w:rPr>
        <w:br/>
      </w:r>
      <w:r w:rsidRPr="00D30124">
        <w:rPr>
          <w:rFonts w:ascii="Times New Roman" w:eastAsia="Times New Roman" w:hAnsi="Times New Roman" w:cs="Times New Roman"/>
          <w:color w:val="231F20"/>
          <w:sz w:val="18"/>
          <w:szCs w:val="18"/>
          <w:lang w:eastAsia="hr-HR"/>
        </w:rPr>
        <w:t>NADZOR</w:t>
      </w:r>
    </w:p>
    <w:p w:rsidR="00D30124" w:rsidRPr="00D30124" w:rsidRDefault="00D30124" w:rsidP="00D30124">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Nadzor nad provođenjem ovoga Zakona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14.</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Nadzor nad provođenjem ovoga Zakona u turističkoj zajednici obavlja Ministarstvo sukladno propisu kojim se uređuje sustav turističkih zajednica.</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Nadzor nad naplatom članarine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15.</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Nadzor nad naplatom članarine od pravnih i fizičkih osoba obavlja Porezna uprava.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U provođenju nadzora iz stavka 1. ovoga članka s Poreznom upravom surađuju druga tijela državne uprave i turističke zajednice.</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D30124">
        <w:rPr>
          <w:rFonts w:ascii="Times New Roman" w:eastAsia="Times New Roman" w:hAnsi="Times New Roman" w:cs="Times New Roman"/>
          <w:color w:val="231F20"/>
          <w:sz w:val="18"/>
          <w:szCs w:val="18"/>
          <w:lang w:eastAsia="hr-HR"/>
        </w:rPr>
        <w:t>DIO ŠESTI</w:t>
      </w:r>
      <w:r w:rsidRPr="00D30124">
        <w:rPr>
          <w:rFonts w:ascii="Minion Pro" w:eastAsia="Times New Roman" w:hAnsi="Minion Pro" w:cs="Times New Roman"/>
          <w:color w:val="231F20"/>
          <w:sz w:val="18"/>
          <w:szCs w:val="18"/>
          <w:lang w:eastAsia="hr-HR"/>
        </w:rPr>
        <w:br/>
      </w:r>
      <w:r w:rsidRPr="00D30124">
        <w:rPr>
          <w:rFonts w:ascii="Times New Roman" w:eastAsia="Times New Roman" w:hAnsi="Times New Roman" w:cs="Times New Roman"/>
          <w:color w:val="231F20"/>
          <w:sz w:val="18"/>
          <w:szCs w:val="18"/>
          <w:lang w:eastAsia="hr-HR"/>
        </w:rPr>
        <w:t>PREKRŠAJNE ODREDBE</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16.</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Novčanom kaznom u iznosu od 2000,00 do 7000,00 kuna kaznit će se za prekršaj pravna osoba koja u propisanim rokovima ne plati članarinu (članak 10. stavci 2. i 3.).</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Novčanom kaznom u iznosu od 500,00 do 2000,00 kuna za prekršaj iz stavka 1. ovoga članka kaznit će se i odgovorna osoba u pravnoj osobi.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Novčanom kaznom u iznosu od 1000,00 do 5000,00 kuna kaznit će se za prekršaj fizička osoba obrtnik koja u propisanim rokovima ne plati članarinu (članak 10. stavci 2. i 3.).</w:t>
      </w:r>
    </w:p>
    <w:p w:rsidR="00D30124" w:rsidRPr="00D30124" w:rsidRDefault="00D30124" w:rsidP="00D30124">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17.</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(1) Novčanom kaznom u iznosu od 2000,00 do 7000,00 kuna kaznit će se za prekršaj pravna osoba koja nadležnoj ispostavi Porezne uprave ne dostavi podatak iz članka 13. stavka 1. ovoga Zakona na posebnom obrascu za prijavu podataka za obračun članarine u turističkoj zajednici (Obrazac TZ-a) ili putem sustava </w:t>
      </w:r>
      <w:proofErr w:type="spellStart"/>
      <w:r w:rsidRPr="00D30124">
        <w:rPr>
          <w:rFonts w:ascii="Times New Roman" w:eastAsia="Times New Roman" w:hAnsi="Times New Roman" w:cs="Times New Roman"/>
          <w:color w:val="231F20"/>
          <w:sz w:val="16"/>
          <w:szCs w:val="16"/>
          <w:lang w:eastAsia="hr-HR"/>
        </w:rPr>
        <w:t>ePorezna</w:t>
      </w:r>
      <w:proofErr w:type="spellEnd"/>
      <w:r w:rsidRPr="00D30124">
        <w:rPr>
          <w:rFonts w:ascii="Times New Roman" w:eastAsia="Times New Roman" w:hAnsi="Times New Roman" w:cs="Times New Roman"/>
          <w:color w:val="231F20"/>
          <w:sz w:val="16"/>
          <w:szCs w:val="16"/>
          <w:lang w:eastAsia="hr-HR"/>
        </w:rPr>
        <w:t xml:space="preserve"> (članak 13. stavak 2.).</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Novčanom kaznom u iznosu od 500,00 do 2000,00 kuna za prekršaj iz stavka 1. ovoga članka kaznit će se i odgovorna osoba u pravnoj osobi.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 xml:space="preserve">(3) Novčanom kaznom u iznosu od 1000,00 do 5000,00 kuna kaznit će se za prekršaj fizička osoba obrtnik koja nadležnoj ispostavi Porezne uprave ne dostavi podatak iz članka 13. stavka 1. ovoga Zakona na posebnom obrascu za prijavu podataka za obračun članarine u turističkoj zajednici (Obrazac TZ-a) ili putem sustava </w:t>
      </w:r>
      <w:proofErr w:type="spellStart"/>
      <w:r w:rsidRPr="00D30124">
        <w:rPr>
          <w:rFonts w:ascii="Times New Roman" w:eastAsia="Times New Roman" w:hAnsi="Times New Roman" w:cs="Times New Roman"/>
          <w:color w:val="231F20"/>
          <w:sz w:val="16"/>
          <w:szCs w:val="16"/>
          <w:lang w:eastAsia="hr-HR"/>
        </w:rPr>
        <w:t>ePorezna</w:t>
      </w:r>
      <w:proofErr w:type="spellEnd"/>
      <w:r w:rsidRPr="00D30124">
        <w:rPr>
          <w:rFonts w:ascii="Times New Roman" w:eastAsia="Times New Roman" w:hAnsi="Times New Roman" w:cs="Times New Roman"/>
          <w:color w:val="231F20"/>
          <w:sz w:val="16"/>
          <w:szCs w:val="16"/>
          <w:lang w:eastAsia="hr-HR"/>
        </w:rPr>
        <w:t xml:space="preserve"> (članak 13. stavak 2.).</w:t>
      </w:r>
    </w:p>
    <w:p w:rsidR="00D30124" w:rsidRPr="00D30124" w:rsidRDefault="00D30124" w:rsidP="00D30124">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18.</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Novčanom kaznom u iznosu od 500,00 do 5000,00 kuna kaznit će se za prekršaj pružatelj ugostiteljskih usluga u domaćinstvu ili na obiteljskom poljoprivrednom gospodarstvu koji u propisanom roku ne plati godišnji paušalni iznos članarine (članak 11. stavak 3.).</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Novčanom kaznom u iznosu od 500,00 do 5000,00 kuna kaznit će se za prekršaj pružatelj ugostiteljskih usluga u domaćinstvu ili na obiteljskom poljoprivrednom gospodarstvu koji u propisanom roku ne dostavi Obrazac TZ-a Poreznoj upravi (članak 13. stavak 4.).</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D30124">
        <w:rPr>
          <w:rFonts w:ascii="Times New Roman" w:eastAsia="Times New Roman" w:hAnsi="Times New Roman" w:cs="Times New Roman"/>
          <w:color w:val="231F20"/>
          <w:sz w:val="18"/>
          <w:szCs w:val="18"/>
          <w:lang w:eastAsia="hr-HR"/>
        </w:rPr>
        <w:t>DIO SEDMI</w:t>
      </w:r>
      <w:r w:rsidRPr="00D30124">
        <w:rPr>
          <w:rFonts w:ascii="Minion Pro" w:eastAsia="Times New Roman" w:hAnsi="Minion Pro" w:cs="Times New Roman"/>
          <w:color w:val="231F20"/>
          <w:sz w:val="18"/>
          <w:szCs w:val="18"/>
          <w:lang w:eastAsia="hr-HR"/>
        </w:rPr>
        <w:br/>
      </w:r>
      <w:r w:rsidRPr="00D30124">
        <w:rPr>
          <w:rFonts w:ascii="Times New Roman" w:eastAsia="Times New Roman" w:hAnsi="Times New Roman" w:cs="Times New Roman"/>
          <w:color w:val="231F20"/>
          <w:sz w:val="18"/>
          <w:szCs w:val="18"/>
          <w:lang w:eastAsia="hr-HR"/>
        </w:rPr>
        <w:t>PRIJELAZNE I ZAVRŠNE ODREDBE</w:t>
      </w:r>
    </w:p>
    <w:p w:rsidR="00D30124" w:rsidRPr="00D30124" w:rsidRDefault="00D30124" w:rsidP="00D30124">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Rok za donošenje pravilnika i primjena propisa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19.</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Pravilnike iz članka 11. stavka 6., članka 12. stavaka 10. i 11. i članka 13. stavaka 3. i 4. ovoga Zakona ministar će donijeti u roku od 30 dana od dana stupanja na snagu ovoga Zakona.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Do stupanja na snagu pravilnika iz članka 13. stavaka 3. i 4. ovoga Zakona ostaje na snazi Pravilnik o obliku i sadržaju obrasca za prijavu podataka o osnovici za obračun članarine turističkoj zajednici (»Narodne novine«, br. 119/09. i 18/17.).</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(3) Do stupanja na snagu pravilnika iz članka 12. stavka 10. ovoga Zakona ostaje na snazi Pravilnik o potporama turističkim zajednicama na turistički nerazvijenim područjima (»Narodne novine«, br. 132/17. i 70/18.).</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Plaćanje članarine za fizičke osobe koje pružaju ugostiteljske usluge u domaćinstvu ili na obiteljskom poljoprivrednom gospodarstvu u 2020. godini</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20.</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Iznimno od članka 11. stavka 4. ovoga Zakona, godišnji paušalni iznos članarine za osobe iz članka 11. stavka 1. ovoga Zakona u 2020. godini, u kojoj su prvi put ishodile rješenje o odobrenju za pružanje ugostiteljskih usluga u domaćinstvu ili na obiteljskom poljoprivrednom gospodarstvu je umnožak najvećeg broja kreveta u sobi, apartmanu ili kući za odmor, najvećeg broja smještajnih jedinica u kampu i kamp-odmorištu odnosno kapaciteta u objektu za robinzonski smještaj i iznosa članarine za svaki krevet, smještajnu jedinicu u kampu i kamp-odmorištu i kapacitet u objektu za robinzonski smještaj utvrđenih rješenjem o odobrenju za pružanje ugostiteljskih usluga u domaćinstvu ili na obiteljskom poljoprivrednom gospodarstvu.</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lastRenderedPageBreak/>
        <w:t>Raspodjela sredstava Fonda za turistički nedovoljno razvijena područja i kontinent nakon isteka roka od pet godina od stupanja na snagu Zakona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21.</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Sredstva Fonda za turistički nedovoljno razvijena područja i kontinent iz članka 12. stavka 6. ovoga Zakona dostavljat će se regionalnim turističkim zajednicama u roku od pet godina od dana stupanja na snagu ovoga Zakona.</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Po isteku roka iz stavka 1. ovoga članka sredstva Fonda za turistički nedovoljno razvijena područja i kontinent koristit će se za potpore turističkim zajednicama na turistički nedovoljno razvijenim područjima sukladno članku 12. stavku 10. ovoga Zakona.</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Prestanak važenja propisa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22.</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Danom stupanja na snagu ovoga Zakona prestaje važiti Zakon o članarinama u turističkim zajednicama (»Narodne novine«, br. 152/08., 88/10., 110/15. i 121/16.).</w:t>
      </w:r>
    </w:p>
    <w:p w:rsidR="00D30124" w:rsidRPr="00D30124" w:rsidRDefault="00D30124" w:rsidP="00D30124">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23.</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Danom stupanja na snagu ovoga Zakona prestaje važiti: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1. Pravilnik o proglašavanju turističkih općina i gradova i o razvrstavanju naselja u turističke razrede (»Narodne novine«, br. 122/09., 9/10. – ispravak, 61/10., 82/10., 36/11., 89/11., 146/11., 141/12., 144/12., 38/13., 153/13., 126/15., 15/16. – ispravak, 54/16., 113/16., 26/17., 61/17., 72/17. i 78/17.) i</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2. Pravilnik o kriterijima za razvrstavanje naselja u turističke razrede (»Narodne novine«, br. 92/09. i 4/15.).</w:t>
      </w:r>
    </w:p>
    <w:p w:rsidR="00D30124" w:rsidRPr="00D30124" w:rsidRDefault="00D30124" w:rsidP="00D30124">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D30124">
        <w:rPr>
          <w:rFonts w:ascii="Times New Roman" w:eastAsia="Times New Roman" w:hAnsi="Times New Roman" w:cs="Times New Roman"/>
          <w:i/>
          <w:iCs/>
          <w:color w:val="231F20"/>
          <w:sz w:val="18"/>
          <w:szCs w:val="18"/>
          <w:lang w:eastAsia="hr-HR"/>
        </w:rPr>
        <w:t>Stupanje na snagu Zakona</w:t>
      </w:r>
    </w:p>
    <w:p w:rsidR="00D30124" w:rsidRPr="00D30124" w:rsidRDefault="00D30124" w:rsidP="00D30124">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Članak 24.</w:t>
      </w:r>
    </w:p>
    <w:p w:rsidR="00D30124" w:rsidRPr="00D30124" w:rsidRDefault="00D30124" w:rsidP="00D30124">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Ovaj Zakon objavit će se u »Narodnim novinama«, a stupa na snagu 1. siječnja 2020.</w:t>
      </w:r>
    </w:p>
    <w:p w:rsidR="00D30124" w:rsidRPr="00D30124" w:rsidRDefault="00D30124" w:rsidP="00D30124">
      <w:pPr>
        <w:spacing w:after="0" w:line="240" w:lineRule="auto"/>
        <w:ind w:left="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Klasa: 022-03/18-01/174</w:t>
      </w:r>
    </w:p>
    <w:p w:rsidR="00D30124" w:rsidRPr="00D30124" w:rsidRDefault="00D30124" w:rsidP="00D30124">
      <w:pPr>
        <w:spacing w:after="0" w:line="240" w:lineRule="auto"/>
        <w:ind w:left="408"/>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Zagreb, 9. svibnja 2019.</w:t>
      </w:r>
    </w:p>
    <w:p w:rsidR="00D30124" w:rsidRPr="00D30124" w:rsidRDefault="00D30124" w:rsidP="00D30124">
      <w:pPr>
        <w:spacing w:before="136" w:after="24" w:line="240" w:lineRule="auto"/>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HRVATSKI SABOR</w:t>
      </w:r>
    </w:p>
    <w:p w:rsidR="00D30124" w:rsidRPr="00D30124" w:rsidRDefault="00D30124" w:rsidP="00D30124">
      <w:pPr>
        <w:spacing w:after="0" w:line="240" w:lineRule="auto"/>
        <w:ind w:left="2712"/>
        <w:jc w:val="center"/>
        <w:textAlignment w:val="baseline"/>
        <w:rPr>
          <w:rFonts w:ascii="Times New Roman" w:eastAsia="Times New Roman" w:hAnsi="Times New Roman" w:cs="Times New Roman"/>
          <w:color w:val="231F20"/>
          <w:sz w:val="16"/>
          <w:szCs w:val="16"/>
          <w:lang w:eastAsia="hr-HR"/>
        </w:rPr>
      </w:pPr>
      <w:r w:rsidRPr="00D30124">
        <w:rPr>
          <w:rFonts w:ascii="Times New Roman" w:eastAsia="Times New Roman" w:hAnsi="Times New Roman" w:cs="Times New Roman"/>
          <w:color w:val="231F20"/>
          <w:sz w:val="16"/>
          <w:szCs w:val="16"/>
          <w:lang w:eastAsia="hr-HR"/>
        </w:rPr>
        <w:t>Predsjednik</w:t>
      </w:r>
      <w:r w:rsidRPr="00D30124">
        <w:rPr>
          <w:rFonts w:ascii="Minion Pro" w:eastAsia="Times New Roman" w:hAnsi="Minion Pro" w:cs="Times New Roman"/>
          <w:color w:val="231F20"/>
          <w:sz w:val="16"/>
          <w:szCs w:val="16"/>
          <w:lang w:eastAsia="hr-HR"/>
        </w:rPr>
        <w:br/>
      </w:r>
      <w:r w:rsidRPr="00D30124">
        <w:rPr>
          <w:rFonts w:ascii="Times New Roman" w:eastAsia="Times New Roman" w:hAnsi="Times New Roman" w:cs="Times New Roman"/>
          <w:color w:val="231F20"/>
          <w:sz w:val="16"/>
          <w:szCs w:val="16"/>
          <w:lang w:eastAsia="hr-HR"/>
        </w:rPr>
        <w:t>Hrvatskoga sabora</w:t>
      </w:r>
      <w:r w:rsidRPr="00D30124">
        <w:rPr>
          <w:rFonts w:ascii="Minion Pro" w:eastAsia="Times New Roman" w:hAnsi="Minion Pro" w:cs="Times New Roman"/>
          <w:color w:val="231F20"/>
          <w:sz w:val="16"/>
          <w:szCs w:val="16"/>
          <w:lang w:eastAsia="hr-HR"/>
        </w:rPr>
        <w:br/>
      </w:r>
      <w:r w:rsidRPr="00D30124">
        <w:rPr>
          <w:rFonts w:ascii="Minion Pro" w:eastAsia="Times New Roman" w:hAnsi="Minion Pro" w:cs="Times New Roman"/>
          <w:b/>
          <w:bCs/>
          <w:color w:val="231F20"/>
          <w:sz w:val="18"/>
          <w:lang w:eastAsia="hr-HR"/>
        </w:rPr>
        <w:t>Gordan Jandroković, </w:t>
      </w:r>
      <w:r w:rsidRPr="00D30124">
        <w:rPr>
          <w:rFonts w:ascii="Times New Roman" w:eastAsia="Times New Roman" w:hAnsi="Times New Roman" w:cs="Times New Roman"/>
          <w:color w:val="231F20"/>
          <w:sz w:val="16"/>
          <w:szCs w:val="16"/>
          <w:lang w:eastAsia="hr-HR"/>
        </w:rPr>
        <w:t>v. r.</w:t>
      </w:r>
    </w:p>
    <w:p w:rsidR="00A86F59" w:rsidRDefault="00D30124"/>
    <w:sectPr w:rsidR="00A86F59" w:rsidSect="009948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30124"/>
    <w:rsid w:val="00575600"/>
    <w:rsid w:val="009948DD"/>
    <w:rsid w:val="00D30124"/>
    <w:rsid w:val="00D64D2D"/>
    <w:rsid w:val="00E54BE2"/>
    <w:rsid w:val="00FB71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DD"/>
  </w:style>
  <w:style w:type="paragraph" w:styleId="Naslov3">
    <w:name w:val="heading 3"/>
    <w:basedOn w:val="Normal"/>
    <w:link w:val="Naslov3Char"/>
    <w:uiPriority w:val="9"/>
    <w:qFormat/>
    <w:rsid w:val="00D30124"/>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D30124"/>
    <w:rPr>
      <w:rFonts w:ascii="Times New Roman" w:eastAsia="Times New Roman" w:hAnsi="Times New Roman" w:cs="Times New Roman"/>
      <w:b/>
      <w:bCs/>
      <w:sz w:val="27"/>
      <w:szCs w:val="27"/>
      <w:lang w:eastAsia="hr-HR"/>
    </w:rPr>
  </w:style>
  <w:style w:type="paragraph" w:customStyle="1" w:styleId="box460404">
    <w:name w:val="box_460404"/>
    <w:basedOn w:val="Normal"/>
    <w:rsid w:val="00D3012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D30124"/>
  </w:style>
  <w:style w:type="character" w:customStyle="1" w:styleId="kurziv">
    <w:name w:val="kurziv"/>
    <w:basedOn w:val="Zadanifontodlomka"/>
    <w:rsid w:val="00D30124"/>
  </w:style>
</w:styles>
</file>

<file path=word/webSettings.xml><?xml version="1.0" encoding="utf-8"?>
<w:webSettings xmlns:r="http://schemas.openxmlformats.org/officeDocument/2006/relationships" xmlns:w="http://schemas.openxmlformats.org/wordprocessingml/2006/main">
  <w:divs>
    <w:div w:id="941763296">
      <w:bodyDiv w:val="1"/>
      <w:marLeft w:val="0"/>
      <w:marRight w:val="0"/>
      <w:marTop w:val="0"/>
      <w:marBottom w:val="0"/>
      <w:divBdr>
        <w:top w:val="none" w:sz="0" w:space="0" w:color="auto"/>
        <w:left w:val="none" w:sz="0" w:space="0" w:color="auto"/>
        <w:bottom w:val="none" w:sz="0" w:space="0" w:color="auto"/>
        <w:right w:val="none" w:sz="0" w:space="0" w:color="auto"/>
      </w:divBdr>
      <w:divsChild>
        <w:div w:id="1003895220">
          <w:marLeft w:val="0"/>
          <w:marRight w:val="0"/>
          <w:marTop w:val="0"/>
          <w:marBottom w:val="0"/>
          <w:divBdr>
            <w:top w:val="none" w:sz="0" w:space="0" w:color="auto"/>
            <w:left w:val="none" w:sz="0" w:space="0" w:color="auto"/>
            <w:bottom w:val="none" w:sz="0" w:space="0" w:color="auto"/>
            <w:right w:val="none" w:sz="0" w:space="0" w:color="auto"/>
          </w:divBdr>
          <w:divsChild>
            <w:div w:id="18314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3551</Words>
  <Characters>20242</Characters>
  <Application>Microsoft Office Word</Application>
  <DocSecurity>0</DocSecurity>
  <Lines>168</Lines>
  <Paragraphs>47</Paragraphs>
  <ScaleCrop>false</ScaleCrop>
  <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2020-03-12T09:31:00Z</dcterms:created>
  <dcterms:modified xsi:type="dcterms:W3CDTF">2020-03-12T09:31:00Z</dcterms:modified>
</cp:coreProperties>
</file>